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3C7B4F">
        <w:rPr>
          <w:rFonts w:cs="Arial"/>
          <w:noProof w:val="0"/>
          <w:sz w:val="22"/>
          <w:szCs w:val="22"/>
        </w:rPr>
        <w:t>SA</w:t>
      </w:r>
      <w:r w:rsidRPr="00DA53A0">
        <w:rPr>
          <w:rFonts w:cs="Arial"/>
          <w:bCs/>
          <w:sz w:val="22"/>
          <w:szCs w:val="22"/>
        </w:rPr>
        <w:t xml:space="preserve"> WG </w:t>
      </w:r>
      <w:bookmarkEnd w:id="0"/>
      <w:bookmarkEnd w:id="1"/>
      <w:bookmarkEnd w:id="2"/>
      <w:r w:rsidR="003C7B4F">
        <w:rPr>
          <w:rFonts w:cs="Arial"/>
          <w:bCs/>
          <w:sz w:val="22"/>
          <w:szCs w:val="22"/>
        </w:rPr>
        <w:t xml:space="preserve">2 </w:t>
      </w:r>
      <w:r w:rsidRPr="00DA53A0">
        <w:rPr>
          <w:rFonts w:cs="Arial"/>
          <w:bCs/>
          <w:sz w:val="22"/>
          <w:szCs w:val="22"/>
        </w:rPr>
        <w:t xml:space="preserve">Meeting </w:t>
      </w:r>
      <w:r w:rsidR="003C7B4F">
        <w:rPr>
          <w:rFonts w:cs="Arial"/>
          <w:noProof w:val="0"/>
          <w:sz w:val="22"/>
          <w:szCs w:val="22"/>
        </w:rPr>
        <w:t>143E</w:t>
      </w:r>
      <w:r w:rsidRPr="00DA53A0">
        <w:rPr>
          <w:rFonts w:cs="Arial"/>
          <w:bCs/>
          <w:sz w:val="22"/>
          <w:szCs w:val="22"/>
        </w:rPr>
        <w:tab/>
      </w:r>
      <w:r w:rsidR="003C7B4F">
        <w:rPr>
          <w:rFonts w:cs="Arial"/>
          <w:bCs/>
          <w:sz w:val="22"/>
          <w:szCs w:val="22"/>
        </w:rPr>
        <w:tab/>
      </w:r>
      <w:r w:rsidRPr="009621B3">
        <w:rPr>
          <w:rFonts w:cs="Arial"/>
          <w:bCs/>
          <w:sz w:val="22"/>
          <w:szCs w:val="22"/>
        </w:rPr>
        <w:t xml:space="preserve">TDoc </w:t>
      </w:r>
      <w:r w:rsidR="003C7B4F" w:rsidRPr="009621B3">
        <w:rPr>
          <w:rFonts w:cs="Arial"/>
          <w:noProof w:val="0"/>
          <w:sz w:val="22"/>
          <w:szCs w:val="22"/>
        </w:rPr>
        <w:t>S2-21</w:t>
      </w:r>
      <w:r w:rsidR="009621B3" w:rsidRPr="009621B3">
        <w:rPr>
          <w:rFonts w:cs="Arial"/>
          <w:noProof w:val="0"/>
          <w:sz w:val="22"/>
          <w:szCs w:val="22"/>
        </w:rPr>
        <w:t>008</w:t>
      </w:r>
      <w:r w:rsidR="0027457E">
        <w:rPr>
          <w:rFonts w:cs="Arial"/>
          <w:noProof w:val="0"/>
          <w:sz w:val="22"/>
          <w:szCs w:val="22"/>
        </w:rPr>
        <w:t>26</w:t>
      </w:r>
    </w:p>
    <w:p w:rsidR="004E3939" w:rsidRPr="00DA53A0" w:rsidRDefault="003C7B4F" w:rsidP="004E3939">
      <w:pPr>
        <w:pStyle w:val="Header"/>
        <w:rPr>
          <w:sz w:val="22"/>
          <w:szCs w:val="22"/>
        </w:rPr>
      </w:pPr>
      <w:r>
        <w:rPr>
          <w:sz w:val="22"/>
          <w:szCs w:val="22"/>
        </w:rPr>
        <w:t>Electronic,</w:t>
      </w:r>
      <w:r w:rsidR="004E3939" w:rsidRPr="00DA53A0">
        <w:rPr>
          <w:sz w:val="22"/>
          <w:szCs w:val="22"/>
        </w:rPr>
        <w:t xml:space="preserve"> </w:t>
      </w:r>
      <w:r w:rsidR="00691BC9">
        <w:rPr>
          <w:sz w:val="22"/>
          <w:szCs w:val="22"/>
        </w:rPr>
        <w:t>February 2</w:t>
      </w:r>
      <w:r w:rsidR="00B81BCA">
        <w:rPr>
          <w:sz w:val="22"/>
          <w:szCs w:val="22"/>
        </w:rPr>
        <w:t>4</w:t>
      </w:r>
      <w:r w:rsidR="00691BC9">
        <w:rPr>
          <w:sz w:val="22"/>
          <w:szCs w:val="22"/>
        </w:rPr>
        <w:t xml:space="preserve"> – March 9, 2021</w:t>
      </w:r>
    </w:p>
    <w:p w:rsidR="00B97703" w:rsidRDefault="00B97703">
      <w:pPr>
        <w:rPr>
          <w:rFonts w:ascii="Arial" w:hAnsi="Arial" w:cs="Arial"/>
        </w:rPr>
      </w:pP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B78BC">
        <w:rPr>
          <w:rFonts w:ascii="Arial" w:hAnsi="Arial" w:cs="Arial"/>
          <w:b/>
          <w:sz w:val="22"/>
          <w:szCs w:val="22"/>
        </w:rPr>
        <w:t xml:space="preserve">[DRAFT] Reply </w:t>
      </w:r>
      <w:r w:rsidRPr="004E3939">
        <w:rPr>
          <w:rFonts w:ascii="Arial" w:hAnsi="Arial" w:cs="Arial"/>
          <w:b/>
          <w:sz w:val="22"/>
          <w:szCs w:val="22"/>
        </w:rPr>
        <w:t xml:space="preserve">LS on </w:t>
      </w:r>
      <w:r w:rsidR="0027457E">
        <w:rPr>
          <w:rFonts w:ascii="Arial" w:hAnsi="Arial" w:cs="Arial"/>
          <w:b/>
          <w:sz w:val="22"/>
          <w:szCs w:val="22"/>
        </w:rPr>
        <w:t>IoT-NTN basic architecture</w:t>
      </w:r>
    </w:p>
    <w:p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3C7B4F" w:rsidRPr="00C1774A">
        <w:rPr>
          <w:rFonts w:ascii="Arial" w:hAnsi="Arial" w:cs="Arial"/>
          <w:b/>
          <w:bCs/>
          <w:sz w:val="22"/>
          <w:szCs w:val="22"/>
        </w:rPr>
        <w:t>R2-2102</w:t>
      </w:r>
      <w:r w:rsidR="0027457E">
        <w:rPr>
          <w:rFonts w:ascii="Arial" w:hAnsi="Arial" w:cs="Arial"/>
          <w:b/>
          <w:bCs/>
          <w:sz w:val="22"/>
          <w:szCs w:val="22"/>
        </w:rPr>
        <w:t>501</w:t>
      </w:r>
      <w:r w:rsidR="003C7B4F" w:rsidRPr="00C1774A">
        <w:rPr>
          <w:rFonts w:ascii="Arial" w:hAnsi="Arial" w:cs="Arial"/>
          <w:b/>
          <w:bCs/>
          <w:sz w:val="22"/>
          <w:szCs w:val="22"/>
        </w:rPr>
        <w:t>/S2-21</w:t>
      </w:r>
      <w:r w:rsidR="002B78BC" w:rsidRPr="00C1774A">
        <w:rPr>
          <w:rFonts w:ascii="Arial" w:hAnsi="Arial" w:cs="Arial"/>
          <w:b/>
          <w:bCs/>
          <w:sz w:val="22"/>
          <w:szCs w:val="22"/>
        </w:rPr>
        <w:t>0014</w:t>
      </w:r>
      <w:r w:rsidR="0027457E">
        <w:rPr>
          <w:rFonts w:ascii="Arial" w:hAnsi="Arial" w:cs="Arial"/>
          <w:b/>
          <w:bCs/>
          <w:sz w:val="22"/>
          <w:szCs w:val="22"/>
        </w:rPr>
        <w:t>6</w:t>
      </w:r>
      <w:r w:rsidRPr="00C1774A">
        <w:rPr>
          <w:rFonts w:ascii="Arial" w:hAnsi="Arial" w:cs="Arial"/>
          <w:b/>
          <w:bCs/>
          <w:sz w:val="22"/>
          <w:szCs w:val="22"/>
        </w:rPr>
        <w:t xml:space="preserve"> on </w:t>
      </w:r>
      <w:r w:rsidR="0027457E" w:rsidRPr="004E3939">
        <w:rPr>
          <w:rFonts w:ascii="Arial" w:hAnsi="Arial" w:cs="Arial"/>
          <w:b/>
          <w:sz w:val="22"/>
          <w:szCs w:val="22"/>
        </w:rPr>
        <w:t xml:space="preserve">LS on </w:t>
      </w:r>
      <w:r w:rsidR="0027457E">
        <w:rPr>
          <w:rFonts w:ascii="Arial" w:hAnsi="Arial" w:cs="Arial"/>
          <w:b/>
          <w:sz w:val="22"/>
          <w:szCs w:val="22"/>
        </w:rPr>
        <w:t>IoT-NTN basic architecture</w:t>
      </w:r>
    </w:p>
    <w:p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3C7B4F">
        <w:rPr>
          <w:rFonts w:ascii="Arial" w:hAnsi="Arial" w:cs="Arial"/>
          <w:b/>
          <w:bCs/>
          <w:sz w:val="22"/>
          <w:szCs w:val="22"/>
        </w:rPr>
        <w:t>Rel-17</w:t>
      </w:r>
    </w:p>
    <w:bookmarkEnd w:id="5"/>
    <w:bookmarkEnd w:id="6"/>
    <w:bookmarkEnd w:id="7"/>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7457E" w:rsidRPr="0027457E">
        <w:rPr>
          <w:rFonts w:ascii="Arial" w:hAnsi="Arial" w:cs="Arial"/>
          <w:b/>
          <w:bCs/>
          <w:sz w:val="22"/>
          <w:szCs w:val="22"/>
        </w:rPr>
        <w:t>FS_LTE_NBIOT_eMTC_NTN</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B78BC">
        <w:rPr>
          <w:rFonts w:ascii="Arial" w:hAnsi="Arial" w:cs="Arial"/>
          <w:b/>
          <w:sz w:val="22"/>
          <w:szCs w:val="22"/>
        </w:rPr>
        <w:t>SA2</w:t>
      </w:r>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B78BC">
        <w:rPr>
          <w:rFonts w:ascii="Arial" w:hAnsi="Arial" w:cs="Arial"/>
          <w:b/>
          <w:bCs/>
          <w:sz w:val="22"/>
          <w:szCs w:val="22"/>
        </w:rPr>
        <w:t>RAN2</w:t>
      </w:r>
      <w:r w:rsidR="0027457E">
        <w:rPr>
          <w:rFonts w:ascii="Arial" w:hAnsi="Arial" w:cs="Arial"/>
          <w:b/>
          <w:bCs/>
          <w:sz w:val="22"/>
          <w:szCs w:val="22"/>
        </w:rPr>
        <w:t>, RAN3</w:t>
      </w:r>
    </w:p>
    <w:p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2B78BC">
        <w:rPr>
          <w:rFonts w:ascii="Arial" w:hAnsi="Arial" w:cs="Arial"/>
          <w:b/>
          <w:bCs/>
          <w:sz w:val="22"/>
          <w:szCs w:val="22"/>
        </w:rPr>
        <w:t>RAN3, CT1</w:t>
      </w:r>
    </w:p>
    <w:bookmarkEnd w:id="8"/>
    <w:bookmarkEnd w:id="9"/>
    <w:p w:rsidR="00B97703" w:rsidRDefault="00B97703">
      <w:pPr>
        <w:spacing w:after="60"/>
        <w:ind w:left="1985" w:hanging="1985"/>
        <w:rPr>
          <w:rFonts w:ascii="Arial" w:hAnsi="Arial" w:cs="Arial"/>
          <w:bCs/>
        </w:rPr>
      </w:pPr>
    </w:p>
    <w:p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7457E">
        <w:rPr>
          <w:rFonts w:ascii="Arial" w:hAnsi="Arial" w:cs="Arial"/>
          <w:b/>
          <w:bCs/>
          <w:sz w:val="22"/>
          <w:szCs w:val="22"/>
        </w:rPr>
        <w:t>Guillaume SEBIRE</w:t>
      </w:r>
    </w:p>
    <w:p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7457E">
        <w:rPr>
          <w:rFonts w:ascii="Arial" w:hAnsi="Arial" w:cs="Arial"/>
          <w:b/>
          <w:bCs/>
          <w:sz w:val="22"/>
          <w:szCs w:val="22"/>
        </w:rPr>
        <w:t>Guillaume dot sebire at mediatek dot com</w:t>
      </w:r>
    </w:p>
    <w:p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B78BC" w:rsidRPr="005249BE">
        <w:rPr>
          <w:color w:val="000000"/>
        </w:rPr>
        <w:t>-</w:t>
      </w:r>
    </w:p>
    <w:p w:rsidR="00B97703" w:rsidRDefault="00B97703">
      <w:pPr>
        <w:rPr>
          <w:rFonts w:ascii="Arial" w:hAnsi="Arial" w:cs="Arial"/>
        </w:rPr>
      </w:pPr>
    </w:p>
    <w:p w:rsidR="00B97703" w:rsidRDefault="000F6242" w:rsidP="00B97703">
      <w:pPr>
        <w:pStyle w:val="Heading1"/>
      </w:pPr>
      <w:r>
        <w:t>1</w:t>
      </w:r>
      <w:r w:rsidR="002F1940">
        <w:tab/>
      </w:r>
      <w:r>
        <w:t>Overall description</w:t>
      </w:r>
    </w:p>
    <w:p w:rsidR="00404CB6" w:rsidRDefault="001B151A" w:rsidP="001B151A">
      <w:r>
        <w:t xml:space="preserve">SA2 would </w:t>
      </w:r>
      <w:r w:rsidR="00404CB6">
        <w:t xml:space="preserve">like to thank RAN2 for their LS on </w:t>
      </w:r>
      <w:r w:rsidR="0027457E">
        <w:t>IoT NTN basic architecture</w:t>
      </w:r>
      <w:r w:rsidR="00A51730">
        <w:t>, and notes RAN2 understanding</w:t>
      </w:r>
      <w:r w:rsidR="00A33F1A">
        <w:t xml:space="preserve"> “that </w:t>
      </w:r>
      <w:r w:rsidR="00A33F1A" w:rsidRPr="00A33F1A">
        <w:t>the IoT-NTN RAN can connect to either an EPC or to a 5GCN</w:t>
      </w:r>
      <w:r w:rsidR="00A33F1A">
        <w:t>. That is both […] shall be supported in Release 17”.</w:t>
      </w:r>
    </w:p>
    <w:p w:rsidR="00031B93" w:rsidRDefault="0027457E" w:rsidP="001B151A">
      <w:r>
        <w:t>SA2 is currently progre</w:t>
      </w:r>
      <w:r w:rsidR="00031B93">
        <w:t>ssing its work on 5GSAT_ARCH WI to integrate satellite components into the 5G system architecture in Rel-17, in accordance with the conclusions in TR23.737 addressing the following aspects:</w:t>
      </w:r>
    </w:p>
    <w:p w:rsidR="00031B93" w:rsidRDefault="00E30B7E" w:rsidP="00031B93">
      <w:pPr>
        <w:pStyle w:val="B1"/>
      </w:pPr>
      <w:r w:rsidRPr="00E82D79">
        <w:rPr>
          <w:b/>
        </w:rPr>
        <w:t>1)</w:t>
      </w:r>
      <w:r w:rsidR="00031B93">
        <w:tab/>
      </w:r>
      <w:r w:rsidR="00031B93" w:rsidRPr="00854AF4">
        <w:rPr>
          <w:b/>
        </w:rPr>
        <w:t>Mobility management with large satellite coverage areas</w:t>
      </w:r>
    </w:p>
    <w:p w:rsidR="00031B93" w:rsidRDefault="00031B93" w:rsidP="00031B93">
      <w:pPr>
        <w:pStyle w:val="B2"/>
      </w:pPr>
      <w:r>
        <w:t>-</w:t>
      </w:r>
      <w:r>
        <w:tab/>
        <w:t>No Core Network impact were identified by SA2</w:t>
      </w:r>
    </w:p>
    <w:p w:rsidR="00031B93" w:rsidRDefault="00031B93" w:rsidP="00031B93">
      <w:pPr>
        <w:pStyle w:val="B2"/>
      </w:pPr>
      <w:r>
        <w:t>-</w:t>
      </w:r>
      <w:r>
        <w:tab/>
        <w:t xml:space="preserve">The focus of the normative work should be on </w:t>
      </w:r>
      <w:r w:rsidRPr="00031B93">
        <w:rPr>
          <w:b/>
        </w:rPr>
        <w:t>transparent payload</w:t>
      </w:r>
      <w:r>
        <w:t xml:space="preserve"> based LEO and GEO scenarios.</w:t>
      </w:r>
    </w:p>
    <w:p w:rsidR="00031B93" w:rsidRDefault="00031B93" w:rsidP="00031B93">
      <w:pPr>
        <w:pStyle w:val="B2"/>
      </w:pPr>
      <w:r>
        <w:t>-</w:t>
      </w:r>
      <w:r>
        <w:tab/>
        <w:t>UEs are assumed to have the capability to determine their location.</w:t>
      </w:r>
    </w:p>
    <w:p w:rsidR="00031B93" w:rsidRDefault="00031B93" w:rsidP="00031B93">
      <w:pPr>
        <w:pStyle w:val="B2"/>
      </w:pPr>
      <w:r>
        <w:t>-</w:t>
      </w:r>
      <w:r>
        <w:tab/>
        <w:t>Fixed TAs deployment will be supported to minimise Core Network impact</w:t>
      </w:r>
    </w:p>
    <w:p w:rsidR="00031B93" w:rsidRPr="00854AF4" w:rsidRDefault="00E30B7E" w:rsidP="00031B93">
      <w:pPr>
        <w:pStyle w:val="B1"/>
        <w:rPr>
          <w:b/>
        </w:rPr>
      </w:pPr>
      <w:r w:rsidRPr="00E82D79">
        <w:rPr>
          <w:b/>
        </w:rPr>
        <w:t>2)</w:t>
      </w:r>
      <w:r w:rsidR="00031B93">
        <w:tab/>
      </w:r>
      <w:r w:rsidR="00031B93" w:rsidRPr="00854AF4">
        <w:rPr>
          <w:b/>
        </w:rPr>
        <w:t>Mobility management with moving satellite coverage areas</w:t>
      </w:r>
    </w:p>
    <w:p w:rsidR="00031B93" w:rsidRDefault="00031B93" w:rsidP="00031B93">
      <w:pPr>
        <w:pStyle w:val="B2"/>
      </w:pPr>
      <w:r>
        <w:t>-</w:t>
      </w:r>
      <w:r>
        <w:tab/>
        <w:t>No Core Network impact were identified by SA2</w:t>
      </w:r>
    </w:p>
    <w:p w:rsidR="00031B93" w:rsidRDefault="00031B93" w:rsidP="00031B93">
      <w:pPr>
        <w:pStyle w:val="B2"/>
      </w:pPr>
      <w:r>
        <w:t>-</w:t>
      </w:r>
      <w:r>
        <w:tab/>
        <w:t>Work focuses on fixed Tracking Areas, in accordance with RAN WGs feedback</w:t>
      </w:r>
    </w:p>
    <w:p w:rsidR="00031B93" w:rsidRDefault="00E30B7E" w:rsidP="00031B93">
      <w:pPr>
        <w:pStyle w:val="B1"/>
      </w:pPr>
      <w:r w:rsidRPr="00E82D79">
        <w:rPr>
          <w:b/>
        </w:rPr>
        <w:t>3)</w:t>
      </w:r>
      <w:r w:rsidR="00031B93">
        <w:tab/>
      </w:r>
      <w:r w:rsidR="00031B93" w:rsidRPr="00A84F72">
        <w:rPr>
          <w:b/>
        </w:rPr>
        <w:t>Delay in satellite</w:t>
      </w:r>
    </w:p>
    <w:p w:rsidR="00854AF4" w:rsidRDefault="00854AF4" w:rsidP="00854AF4">
      <w:pPr>
        <w:pStyle w:val="B2"/>
      </w:pPr>
      <w:r>
        <w:t>-</w:t>
      </w:r>
      <w:r>
        <w:tab/>
        <w:t xml:space="preserve">For GEO deployments, the Core Network indicates to the UE at registration when extended NAS timers are used in the Registration Area that they shall be used. </w:t>
      </w:r>
    </w:p>
    <w:p w:rsidR="00031B93" w:rsidRDefault="00E30B7E" w:rsidP="00031B93">
      <w:pPr>
        <w:pStyle w:val="B1"/>
      </w:pPr>
      <w:r w:rsidRPr="00E82D79">
        <w:rPr>
          <w:b/>
        </w:rPr>
        <w:t>4)</w:t>
      </w:r>
      <w:r w:rsidR="00031B93" w:rsidRPr="00E82D79">
        <w:rPr>
          <w:b/>
        </w:rPr>
        <w:tab/>
      </w:r>
      <w:r w:rsidR="00031B93" w:rsidRPr="00A84F72">
        <w:rPr>
          <w:b/>
        </w:rPr>
        <w:t>QoS with satellite access</w:t>
      </w:r>
    </w:p>
    <w:p w:rsidR="00854AF4" w:rsidRDefault="00854AF4" w:rsidP="00854AF4">
      <w:pPr>
        <w:pStyle w:val="B2"/>
      </w:pPr>
      <w:r>
        <w:t>-</w:t>
      </w:r>
      <w:r>
        <w:tab/>
      </w:r>
      <w:r w:rsidR="00341B8B">
        <w:t>Inclusion of new RAT types to distinguish satellite RAT and related orbits in the Core Network</w:t>
      </w:r>
    </w:p>
    <w:p w:rsidR="00341B8B" w:rsidRDefault="00341B8B" w:rsidP="00854AF4">
      <w:pPr>
        <w:pStyle w:val="B2"/>
      </w:pPr>
      <w:r>
        <w:t>-</w:t>
      </w:r>
      <w:r>
        <w:tab/>
        <w:t>At handover (preparation), QoS is considered before a target is selected</w:t>
      </w:r>
    </w:p>
    <w:p w:rsidR="00192BC5" w:rsidRDefault="00341B8B" w:rsidP="00192BC5">
      <w:pPr>
        <w:pStyle w:val="B2"/>
      </w:pPr>
      <w:r>
        <w:t>-</w:t>
      </w:r>
      <w:r>
        <w:tab/>
        <w:t>Idle mode: RFSP assigned to the UE by the Core Network to prevent camping on satellite RAT cell depending on QoS nee</w:t>
      </w:r>
      <w:r w:rsidR="00192BC5">
        <w:t>ds (PDU Session).</w:t>
      </w:r>
    </w:p>
    <w:p w:rsidR="00031B93" w:rsidRDefault="00E30B7E" w:rsidP="00031B93">
      <w:pPr>
        <w:pStyle w:val="B1"/>
      </w:pPr>
      <w:r w:rsidRPr="00E82D79">
        <w:rPr>
          <w:b/>
        </w:rPr>
        <w:lastRenderedPageBreak/>
        <w:t>5)</w:t>
      </w:r>
      <w:r w:rsidR="00031B93" w:rsidRPr="00E82D79">
        <w:rPr>
          <w:b/>
        </w:rPr>
        <w:tab/>
      </w:r>
      <w:r w:rsidR="00031B93" w:rsidRPr="00A84F72">
        <w:rPr>
          <w:b/>
        </w:rPr>
        <w:t>QoS with satellite backhaul</w:t>
      </w:r>
    </w:p>
    <w:p w:rsidR="00746AB8" w:rsidRDefault="00746AB8" w:rsidP="00746AB8">
      <w:pPr>
        <w:pStyle w:val="B2"/>
      </w:pPr>
      <w:r>
        <w:t>-</w:t>
      </w:r>
      <w:r>
        <w:tab/>
      </w:r>
      <w:r w:rsidR="00254499">
        <w:t>Consideration of (CN) satellite backhaul in the expected data path</w:t>
      </w:r>
    </w:p>
    <w:p w:rsidR="00031B93" w:rsidRDefault="00E30B7E" w:rsidP="00031B93">
      <w:pPr>
        <w:pStyle w:val="B1"/>
      </w:pPr>
      <w:r w:rsidRPr="00E82D79">
        <w:rPr>
          <w:b/>
        </w:rPr>
        <w:t>6)</w:t>
      </w:r>
      <w:r w:rsidR="00031B93" w:rsidRPr="00E82D79">
        <w:rPr>
          <w:b/>
        </w:rPr>
        <w:tab/>
      </w:r>
      <w:r w:rsidR="00031B93" w:rsidRPr="00A84F72">
        <w:rPr>
          <w:b/>
        </w:rPr>
        <w:t>RAN mobility with NGSO regenerative-based satellite access</w:t>
      </w:r>
    </w:p>
    <w:p w:rsidR="00254499" w:rsidRDefault="00254499" w:rsidP="00254499">
      <w:pPr>
        <w:pStyle w:val="B2"/>
      </w:pPr>
      <w:r>
        <w:t>-</w:t>
      </w:r>
      <w:r>
        <w:tab/>
      </w:r>
      <w:r w:rsidR="00E30B7E">
        <w:t>See point 1)</w:t>
      </w:r>
      <w:r w:rsidR="00A84F72">
        <w:t xml:space="preserve"> i.e. transparent payload only is supported</w:t>
      </w:r>
    </w:p>
    <w:p w:rsidR="00031B93" w:rsidRDefault="00E30B7E" w:rsidP="00031B93">
      <w:pPr>
        <w:pStyle w:val="B1"/>
      </w:pPr>
      <w:r w:rsidRPr="00E82D79">
        <w:rPr>
          <w:b/>
        </w:rPr>
        <w:t>7)</w:t>
      </w:r>
      <w:r w:rsidR="00031B93" w:rsidRPr="00E82D79">
        <w:rPr>
          <w:b/>
        </w:rPr>
        <w:tab/>
      </w:r>
      <w:r w:rsidR="00031B93" w:rsidRPr="00A84F72">
        <w:rPr>
          <w:b/>
        </w:rPr>
        <w:t>Multi-connectivity with satellite access</w:t>
      </w:r>
    </w:p>
    <w:p w:rsidR="00E30B7E" w:rsidRDefault="00E30B7E" w:rsidP="00E30B7E">
      <w:pPr>
        <w:pStyle w:val="B2"/>
      </w:pPr>
      <w:r>
        <w:t>-</w:t>
      </w:r>
      <w:r>
        <w:tab/>
      </w:r>
      <w:r w:rsidR="00A84F72">
        <w:t>NTN+TN multi-connectivity is not supported.</w:t>
      </w:r>
    </w:p>
    <w:p w:rsidR="00A84F72" w:rsidRDefault="00A84F72" w:rsidP="00E30B7E">
      <w:pPr>
        <w:pStyle w:val="B2"/>
      </w:pPr>
      <w:r>
        <w:t>-</w:t>
      </w:r>
      <w:r>
        <w:tab/>
        <w:t>Dual-connectivity to be treated as RAN WG alignment</w:t>
      </w:r>
    </w:p>
    <w:p w:rsidR="00031B93" w:rsidRDefault="00A84F72" w:rsidP="00031B93">
      <w:pPr>
        <w:pStyle w:val="B1"/>
        <w:rPr>
          <w:lang w:eastAsia="ko-KR"/>
        </w:rPr>
      </w:pPr>
      <w:r w:rsidRPr="00E82D79">
        <w:rPr>
          <w:b/>
        </w:rPr>
        <w:t>8)</w:t>
      </w:r>
      <w:r w:rsidR="00031B93" w:rsidRPr="00E82D79">
        <w:rPr>
          <w:b/>
        </w:rPr>
        <w:tab/>
      </w:r>
      <w:r w:rsidR="00031B93" w:rsidRPr="008E5859">
        <w:rPr>
          <w:b/>
        </w:rPr>
        <w:t>T</w:t>
      </w:r>
      <w:r w:rsidR="00031B93" w:rsidRPr="008E5859">
        <w:rPr>
          <w:b/>
          <w:lang w:eastAsia="ko-KR"/>
        </w:rPr>
        <w:t>he role of satellite link in content distribution towards the edge</w:t>
      </w:r>
    </w:p>
    <w:p w:rsidR="00A84F72" w:rsidRDefault="00A84F72" w:rsidP="00A84F72">
      <w:pPr>
        <w:pStyle w:val="B2"/>
        <w:rPr>
          <w:lang w:eastAsia="ko-KR"/>
        </w:rPr>
      </w:pPr>
      <w:r>
        <w:rPr>
          <w:lang w:eastAsia="ko-KR"/>
        </w:rPr>
        <w:t>-</w:t>
      </w:r>
      <w:r>
        <w:rPr>
          <w:lang w:eastAsia="ko-KR"/>
        </w:rPr>
        <w:tab/>
        <w:t>No normative work</w:t>
      </w:r>
    </w:p>
    <w:p w:rsidR="00A84F72" w:rsidRDefault="00A84F72" w:rsidP="00A84F72">
      <w:pPr>
        <w:pStyle w:val="B2"/>
        <w:rPr>
          <w:lang w:eastAsia="ko-KR"/>
        </w:rPr>
      </w:pPr>
      <w:r>
        <w:rPr>
          <w:lang w:eastAsia="ko-KR"/>
        </w:rPr>
        <w:t>-</w:t>
      </w:r>
      <w:r>
        <w:rPr>
          <w:lang w:eastAsia="ko-KR"/>
        </w:rPr>
        <w:tab/>
        <w:t>Limitation of information broadcast to the country a PLMN belongs to may be addressed in normative work (SA2/RAN)</w:t>
      </w:r>
    </w:p>
    <w:p w:rsidR="00031B93" w:rsidRPr="00413FA4" w:rsidRDefault="008E5859" w:rsidP="00031B93">
      <w:pPr>
        <w:pStyle w:val="B1"/>
        <w:rPr>
          <w:b/>
          <w:lang w:eastAsia="ko-KR"/>
        </w:rPr>
      </w:pPr>
      <w:r w:rsidRPr="00E82D79">
        <w:rPr>
          <w:b/>
          <w:lang w:eastAsia="ko-KR"/>
        </w:rPr>
        <w:t>9</w:t>
      </w:r>
      <w:r w:rsidR="00413FA4" w:rsidRPr="00E82D79">
        <w:rPr>
          <w:b/>
          <w:lang w:eastAsia="ko-KR"/>
        </w:rPr>
        <w:t>)</w:t>
      </w:r>
      <w:r w:rsidR="00031B93" w:rsidRPr="00E82D79">
        <w:rPr>
          <w:b/>
          <w:lang w:eastAsia="ko-KR"/>
        </w:rPr>
        <w:tab/>
      </w:r>
      <w:r w:rsidR="00031B93" w:rsidRPr="00413FA4">
        <w:rPr>
          <w:b/>
          <w:lang w:eastAsia="ko-KR"/>
        </w:rPr>
        <w:t>Multi connectivity with hybrid satellite/terrestrial backhaul</w:t>
      </w:r>
    </w:p>
    <w:p w:rsidR="008E5859" w:rsidRDefault="008E5859" w:rsidP="008E5859">
      <w:pPr>
        <w:pStyle w:val="B2"/>
        <w:rPr>
          <w:lang w:eastAsia="ko-KR"/>
        </w:rPr>
      </w:pPr>
      <w:r>
        <w:rPr>
          <w:lang w:eastAsia="ko-KR"/>
        </w:rPr>
        <w:t>-</w:t>
      </w:r>
      <w:r>
        <w:rPr>
          <w:lang w:eastAsia="ko-KR"/>
        </w:rPr>
        <w:tab/>
      </w:r>
      <w:r w:rsidR="00413FA4">
        <w:rPr>
          <w:lang w:eastAsia="ko-KR"/>
        </w:rPr>
        <w:t>Not supported</w:t>
      </w:r>
    </w:p>
    <w:p w:rsidR="00031B93" w:rsidRDefault="00413FA4" w:rsidP="00031B93">
      <w:pPr>
        <w:pStyle w:val="B1"/>
        <w:rPr>
          <w:rFonts w:cs="Arial"/>
        </w:rPr>
      </w:pPr>
      <w:r w:rsidRPr="00E82D79">
        <w:rPr>
          <w:b/>
          <w:lang w:eastAsia="ko-KR"/>
        </w:rPr>
        <w:t>10)</w:t>
      </w:r>
      <w:r w:rsidR="00031B93" w:rsidRPr="00E82D79">
        <w:rPr>
          <w:b/>
          <w:lang w:eastAsia="ko-KR"/>
        </w:rPr>
        <w:tab/>
      </w:r>
      <w:r w:rsidR="00031B93" w:rsidRPr="00413FA4">
        <w:rPr>
          <w:rFonts w:cs="Arial"/>
          <w:b/>
        </w:rPr>
        <w:t>Regulatory services with super-national satellite ground station</w:t>
      </w:r>
    </w:p>
    <w:p w:rsidR="00413FA4" w:rsidRDefault="00413FA4" w:rsidP="00413FA4">
      <w:pPr>
        <w:pStyle w:val="B2"/>
      </w:pPr>
      <w:r>
        <w:t>-</w:t>
      </w:r>
      <w:r>
        <w:tab/>
        <w:t>SA2/RANx/CTx alignment during normative phase</w:t>
      </w:r>
    </w:p>
    <w:p w:rsidR="003F1AB5" w:rsidRDefault="003F1AB5" w:rsidP="00E82D79"/>
    <w:p w:rsidR="00E328A0" w:rsidRDefault="00413FA4" w:rsidP="00E82D79">
      <w:r>
        <w:t>SA2 expect</w:t>
      </w:r>
      <w:r w:rsidR="00E82D79">
        <w:t>s</w:t>
      </w:r>
      <w:r>
        <w:t xml:space="preserve"> the conclusions </w:t>
      </w:r>
      <w:r w:rsidR="003F1AB5">
        <w:t xml:space="preserve">above </w:t>
      </w:r>
      <w:r>
        <w:t xml:space="preserve">reached during FS_5GSAT_ARCH study </w:t>
      </w:r>
      <w:r w:rsidR="003F1AB5">
        <w:t xml:space="preserve">and </w:t>
      </w:r>
      <w:r>
        <w:t>documented in TR23.737 can serve as a baseline for NTN IoT</w:t>
      </w:r>
      <w:r w:rsidR="00E82D79">
        <w:t xml:space="preserve"> whether for 5GS or EPS</w:t>
      </w:r>
      <w:r w:rsidR="00E328A0">
        <w:t>, while also keeping</w:t>
      </w:r>
      <w:r>
        <w:t xml:space="preserve"> in mind </w:t>
      </w:r>
      <w:r w:rsidR="00E328A0">
        <w:t xml:space="preserve">the IoT scenario (NB-IoT, eMTC) is a much simpler scenario than NR e.g. </w:t>
      </w:r>
      <w:r w:rsidR="003F1AB5">
        <w:t xml:space="preserve">natively delay tolerant, no </w:t>
      </w:r>
      <w:r>
        <w:t>mobility (NB-IoT), no dual connectivity</w:t>
      </w:r>
      <w:r w:rsidR="00E328A0">
        <w:t>, limited QoS support.</w:t>
      </w:r>
      <w:r w:rsidR="00E82D79">
        <w:t xml:space="preserve"> More precisely, SA2 expects that</w:t>
      </w:r>
      <w:r w:rsidR="003F1AB5">
        <w:t xml:space="preserve"> for IoT scenario</w:t>
      </w:r>
      <w:r w:rsidR="00E82D79">
        <w:t xml:space="preserve">: </w:t>
      </w:r>
    </w:p>
    <w:p w:rsidR="00E328A0" w:rsidRDefault="00E328A0" w:rsidP="00E328A0">
      <w:pPr>
        <w:pStyle w:val="B1"/>
      </w:pPr>
      <w:r>
        <w:t>-</w:t>
      </w:r>
      <w:r>
        <w:tab/>
      </w:r>
      <w:r w:rsidRPr="00E82D79">
        <w:rPr>
          <w:b/>
        </w:rPr>
        <w:t>Point 1)</w:t>
      </w:r>
      <w:r>
        <w:t xml:space="preserve"> above holds as is, whether for 5GS or EPS</w:t>
      </w:r>
    </w:p>
    <w:p w:rsidR="00E328A0" w:rsidRDefault="00E328A0" w:rsidP="00E328A0">
      <w:pPr>
        <w:pStyle w:val="B1"/>
      </w:pPr>
      <w:r>
        <w:t>-</w:t>
      </w:r>
      <w:r>
        <w:tab/>
      </w:r>
      <w:r w:rsidRPr="00E82D79">
        <w:rPr>
          <w:b/>
        </w:rPr>
        <w:t>Point 2)</w:t>
      </w:r>
      <w:r>
        <w:t xml:space="preserve"> above holds as is, whether for 5GS or EPS</w:t>
      </w:r>
    </w:p>
    <w:p w:rsidR="00E328A0" w:rsidRDefault="00E328A0" w:rsidP="00E328A0">
      <w:pPr>
        <w:pStyle w:val="B1"/>
      </w:pPr>
      <w:r>
        <w:t>-</w:t>
      </w:r>
      <w:r>
        <w:tab/>
      </w:r>
      <w:r w:rsidRPr="00E82D79">
        <w:rPr>
          <w:b/>
        </w:rPr>
        <w:t>Point 3)</w:t>
      </w:r>
      <w:r>
        <w:t xml:space="preserve"> </w:t>
      </w:r>
      <w:r w:rsidR="003F1AB5">
        <w:t>is not deemed necessary</w:t>
      </w:r>
      <w:r>
        <w:t xml:space="preserve"> due to the inherent delay tolerance of 3GPP CIoT</w:t>
      </w:r>
      <w:r w:rsidR="003F1AB5">
        <w:t xml:space="preserve"> (and related extended NAS timers)</w:t>
      </w:r>
      <w:r>
        <w:t>, whether for 5GS or EPS</w:t>
      </w:r>
    </w:p>
    <w:p w:rsidR="00E328A0" w:rsidRDefault="00E328A0" w:rsidP="00E328A0">
      <w:pPr>
        <w:pStyle w:val="B1"/>
      </w:pPr>
      <w:r>
        <w:t>-</w:t>
      </w:r>
      <w:r>
        <w:tab/>
      </w:r>
      <w:r w:rsidRPr="00E82D79">
        <w:rPr>
          <w:b/>
        </w:rPr>
        <w:t>Point 4)</w:t>
      </w:r>
      <w:r>
        <w:t xml:space="preserve"> RAT types can be defined if deemed necessary, whether for 5GS or EPS</w:t>
      </w:r>
      <w:r w:rsidR="00E82D79">
        <w:t xml:space="preserve">. Other aspects </w:t>
      </w:r>
      <w:r w:rsidR="003F1AB5">
        <w:t xml:space="preserve">are not deemed required at least for NB-IoT. </w:t>
      </w:r>
    </w:p>
    <w:p w:rsidR="00E328A0" w:rsidRDefault="00E328A0" w:rsidP="00E328A0">
      <w:pPr>
        <w:pStyle w:val="B1"/>
      </w:pPr>
      <w:r>
        <w:t>-</w:t>
      </w:r>
      <w:r>
        <w:tab/>
      </w:r>
      <w:r w:rsidRPr="00E82D79">
        <w:rPr>
          <w:b/>
        </w:rPr>
        <w:t>Point 5)</w:t>
      </w:r>
      <w:r>
        <w:t xml:space="preserve"> above may not be necessary, whether for 5GS or EPS</w:t>
      </w:r>
    </w:p>
    <w:p w:rsidR="00E328A0" w:rsidRDefault="00E328A0" w:rsidP="00E328A0">
      <w:pPr>
        <w:pStyle w:val="B1"/>
      </w:pPr>
      <w:r>
        <w:t>-</w:t>
      </w:r>
      <w:r>
        <w:tab/>
      </w:r>
      <w:r w:rsidRPr="00E82D79">
        <w:rPr>
          <w:b/>
        </w:rPr>
        <w:t>Point 6)</w:t>
      </w:r>
      <w:r>
        <w:t xml:space="preserve"> see point 1)</w:t>
      </w:r>
    </w:p>
    <w:p w:rsidR="00E328A0" w:rsidRDefault="00E328A0" w:rsidP="00E328A0">
      <w:pPr>
        <w:pStyle w:val="B1"/>
      </w:pPr>
      <w:r>
        <w:t>-</w:t>
      </w:r>
      <w:r>
        <w:tab/>
      </w:r>
      <w:r w:rsidRPr="00E82D79">
        <w:rPr>
          <w:b/>
        </w:rPr>
        <w:t>Point 7)</w:t>
      </w:r>
      <w:r>
        <w:t xml:space="preserve"> above is not applicable to CIoT scenario</w:t>
      </w:r>
    </w:p>
    <w:p w:rsidR="00E328A0" w:rsidRDefault="00E328A0" w:rsidP="00E328A0">
      <w:pPr>
        <w:pStyle w:val="B1"/>
      </w:pPr>
      <w:r>
        <w:t>-</w:t>
      </w:r>
      <w:r>
        <w:tab/>
      </w:r>
      <w:r w:rsidRPr="00E82D79">
        <w:rPr>
          <w:b/>
        </w:rPr>
        <w:t>Point 8)</w:t>
      </w:r>
      <w:r>
        <w:t xml:space="preserve"> above holds as is, whether for 5GS or EPS</w:t>
      </w:r>
    </w:p>
    <w:p w:rsidR="00E328A0" w:rsidRDefault="00E328A0" w:rsidP="00E328A0">
      <w:pPr>
        <w:pStyle w:val="B1"/>
      </w:pPr>
      <w:r>
        <w:t>-</w:t>
      </w:r>
      <w:r>
        <w:tab/>
      </w:r>
      <w:r w:rsidRPr="00E82D79">
        <w:rPr>
          <w:b/>
        </w:rPr>
        <w:t>Point 9)</w:t>
      </w:r>
      <w:r>
        <w:t xml:space="preserve"> above holds as is</w:t>
      </w:r>
    </w:p>
    <w:p w:rsidR="00E328A0" w:rsidRDefault="00E328A0" w:rsidP="00E328A0">
      <w:pPr>
        <w:pStyle w:val="B1"/>
      </w:pPr>
      <w:r>
        <w:t>-</w:t>
      </w:r>
      <w:r>
        <w:tab/>
      </w:r>
      <w:r w:rsidRPr="00E82D79">
        <w:rPr>
          <w:b/>
        </w:rPr>
        <w:t>Point 10)</w:t>
      </w:r>
      <w:r>
        <w:t xml:space="preserve"> above holds as is</w:t>
      </w:r>
      <w:r w:rsidR="003F1AB5">
        <w:t xml:space="preserve"> whether for 5GS or EPS</w:t>
      </w:r>
      <w:bookmarkStart w:id="10" w:name="_GoBack"/>
      <w:bookmarkEnd w:id="10"/>
    </w:p>
    <w:p w:rsidR="00FB61B6" w:rsidRDefault="00FB61B6" w:rsidP="00E82D79"/>
    <w:p w:rsidR="00E82D79" w:rsidRDefault="00FB61B6" w:rsidP="00E82D79">
      <w:r>
        <w:t xml:space="preserve">SA2 understands the bulk of functionalities to enable support for NTN radio interface whether for NR or CIoT is in the AS domain. NTN integration into the CN is made with minimal impact, especially in NAS protocols (UE-CN). </w:t>
      </w:r>
      <w:r w:rsidR="00E82D79">
        <w:t>Given the</w:t>
      </w:r>
      <w:r>
        <w:t xml:space="preserve"> above</w:t>
      </w:r>
      <w:r w:rsidR="00E82D79">
        <w:t xml:space="preserve"> observations, it </w:t>
      </w:r>
      <w:r w:rsidR="00971021">
        <w:t>can be</w:t>
      </w:r>
      <w:r>
        <w:t xml:space="preserve"> further observed that</w:t>
      </w:r>
      <w:r w:rsidR="00E82D79">
        <w:t xml:space="preserve"> NTN IoT requires only a subset of the functionality required </w:t>
      </w:r>
      <w:r>
        <w:t xml:space="preserve">otherwise for NTN NR. In this sense, </w:t>
      </w:r>
      <w:r w:rsidR="00E82D79">
        <w:t xml:space="preserve">should </w:t>
      </w:r>
      <w:r>
        <w:t xml:space="preserve">normative </w:t>
      </w:r>
      <w:r w:rsidR="00E82D79">
        <w:t xml:space="preserve">work be required, it could be envisaged as alignment work to enable NTN support for CIoT in 5GS and </w:t>
      </w:r>
      <w:r w:rsidR="00971021">
        <w:t xml:space="preserve">also in </w:t>
      </w:r>
      <w:r w:rsidR="0083405F">
        <w:t>EPS</w:t>
      </w:r>
      <w:r w:rsidR="00971021">
        <w:t>.</w:t>
      </w:r>
    </w:p>
    <w:p w:rsidR="00B97703" w:rsidRDefault="002F1940" w:rsidP="000F6242">
      <w:pPr>
        <w:pStyle w:val="Heading1"/>
      </w:pPr>
      <w:r>
        <w:lastRenderedPageBreak/>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D75858">
        <w:rPr>
          <w:rFonts w:ascii="Arial" w:hAnsi="Arial" w:cs="Arial"/>
          <w:b/>
        </w:rPr>
        <w:t xml:space="preserve"> RAN2</w:t>
      </w:r>
      <w:r w:rsidR="00736BC6">
        <w:rPr>
          <w:rFonts w:ascii="Arial" w:hAnsi="Arial" w:cs="Arial"/>
          <w:b/>
        </w:rPr>
        <w:t>, RAN3</w:t>
      </w:r>
    </w:p>
    <w:p w:rsidR="00D75858" w:rsidRDefault="00B97703">
      <w:pPr>
        <w:spacing w:after="120"/>
        <w:ind w:left="993" w:hanging="993"/>
        <w:rPr>
          <w:lang w:val="en-US"/>
        </w:rPr>
      </w:pPr>
      <w:r>
        <w:rPr>
          <w:rFonts w:ascii="Arial" w:hAnsi="Arial" w:cs="Arial"/>
          <w:b/>
        </w:rPr>
        <w:t xml:space="preserve">ACTION: </w:t>
      </w:r>
      <w:r w:rsidRPr="000F6242">
        <w:rPr>
          <w:rFonts w:ascii="Arial" w:hAnsi="Arial" w:cs="Arial"/>
          <w:b/>
          <w:color w:val="0070C0"/>
        </w:rPr>
        <w:tab/>
      </w:r>
      <w:r w:rsidR="00D75858">
        <w:rPr>
          <w:lang w:val="en-US"/>
        </w:rPr>
        <w:t>SA2 asks RAN2</w:t>
      </w:r>
      <w:r w:rsidR="00736BC6">
        <w:rPr>
          <w:lang w:val="en-US"/>
        </w:rPr>
        <w:t xml:space="preserve">, RAN3 to take the above information into account. </w:t>
      </w:r>
    </w:p>
    <w:p w:rsidR="00D75858" w:rsidRDefault="00D75858" w:rsidP="00D75858">
      <w:pPr>
        <w:spacing w:after="120"/>
        <w:ind w:left="1985" w:hanging="1985"/>
        <w:rPr>
          <w:rFonts w:ascii="Arial" w:hAnsi="Arial" w:cs="Arial"/>
          <w:b/>
        </w:rPr>
      </w:pPr>
    </w:p>
    <w:p w:rsidR="00B97703" w:rsidRDefault="00B97703">
      <w:pPr>
        <w:spacing w:after="120"/>
        <w:ind w:left="993" w:hanging="993"/>
        <w:rPr>
          <w:rFonts w:ascii="Arial" w:hAnsi="Arial" w:cs="Arial"/>
        </w:rPr>
      </w:pP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75858">
        <w:rPr>
          <w:rFonts w:cs="Arial"/>
          <w:szCs w:val="36"/>
        </w:rPr>
        <w:t>SA</w:t>
      </w:r>
      <w:r w:rsidR="000F6242" w:rsidRPr="000F6242">
        <w:rPr>
          <w:rFonts w:cs="Arial"/>
          <w:bCs/>
          <w:szCs w:val="36"/>
        </w:rPr>
        <w:t xml:space="preserve"> WG </w:t>
      </w:r>
      <w:r w:rsidR="00D75858">
        <w:rPr>
          <w:rFonts w:cs="Arial"/>
          <w:bCs/>
          <w:szCs w:val="36"/>
        </w:rPr>
        <w:t>2</w:t>
      </w:r>
      <w:r w:rsidR="000F6242">
        <w:rPr>
          <w:szCs w:val="36"/>
        </w:rPr>
        <w:t xml:space="preserve"> m</w:t>
      </w:r>
      <w:r w:rsidR="000F6242" w:rsidRPr="000F6242">
        <w:rPr>
          <w:szCs w:val="36"/>
        </w:rPr>
        <w:t>eetings</w:t>
      </w:r>
    </w:p>
    <w:p w:rsidR="002F1940" w:rsidRDefault="00DB72AE" w:rsidP="002F1940">
      <w:bookmarkStart w:id="11" w:name="OLE_LINK55"/>
      <w:bookmarkStart w:id="12" w:name="OLE_LINK56"/>
      <w:bookmarkStart w:id="13" w:name="OLE_LINK53"/>
      <w:bookmarkStart w:id="14" w:name="OLE_LINK54"/>
      <w:r>
        <w:t>SA2#144e</w:t>
      </w:r>
      <w:r w:rsidR="002F1940">
        <w:tab/>
      </w:r>
      <w:r>
        <w:t>April 12-16, 2021</w:t>
      </w:r>
      <w:r w:rsidR="002F1940">
        <w:tab/>
      </w:r>
      <w:bookmarkEnd w:id="11"/>
      <w:bookmarkEnd w:id="12"/>
      <w:r>
        <w:t>Electronic</w:t>
      </w:r>
    </w:p>
    <w:p w:rsidR="00DB72AE" w:rsidRDefault="00DB72AE" w:rsidP="002F1940">
      <w:r>
        <w:t>SA2#145e</w:t>
      </w:r>
      <w:r>
        <w:tab/>
        <w:t>May 17-28, 2021</w:t>
      </w:r>
      <w:r>
        <w:tab/>
      </w:r>
      <w:r>
        <w:tab/>
        <w:t>Electronic</w:t>
      </w:r>
    </w:p>
    <w:bookmarkEnd w:id="13"/>
    <w:bookmarkEnd w:id="14"/>
    <w:p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4D90" w:rsidRDefault="003A4D90">
      <w:pPr>
        <w:spacing w:after="0"/>
      </w:pPr>
      <w:r>
        <w:separator/>
      </w:r>
    </w:p>
  </w:endnote>
  <w:endnote w:type="continuationSeparator" w:id="0">
    <w:p w:rsidR="003A4D90" w:rsidRDefault="003A4D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Times New Roman"/>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4D90" w:rsidRDefault="003A4D90">
      <w:pPr>
        <w:spacing w:after="0"/>
      </w:pPr>
      <w:r>
        <w:separator/>
      </w:r>
    </w:p>
  </w:footnote>
  <w:footnote w:type="continuationSeparator" w:id="0">
    <w:p w:rsidR="003A4D90" w:rsidRDefault="003A4D9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FF80231"/>
    <w:multiLevelType w:val="hybridMultilevel"/>
    <w:tmpl w:val="77465764"/>
    <w:lvl w:ilvl="0" w:tplc="4788BA08">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17F23"/>
    <w:rsid w:val="00031B93"/>
    <w:rsid w:val="000F6242"/>
    <w:rsid w:val="00192BC5"/>
    <w:rsid w:val="001B151A"/>
    <w:rsid w:val="00254499"/>
    <w:rsid w:val="0027457E"/>
    <w:rsid w:val="00282C14"/>
    <w:rsid w:val="002B78BC"/>
    <w:rsid w:val="002F1940"/>
    <w:rsid w:val="0032279E"/>
    <w:rsid w:val="00341B8B"/>
    <w:rsid w:val="00383545"/>
    <w:rsid w:val="003A4D90"/>
    <w:rsid w:val="003C7B4F"/>
    <w:rsid w:val="003D6AA7"/>
    <w:rsid w:val="003F1AB5"/>
    <w:rsid w:val="00404CB6"/>
    <w:rsid w:val="00413FA4"/>
    <w:rsid w:val="00433500"/>
    <w:rsid w:val="00433F71"/>
    <w:rsid w:val="00440D43"/>
    <w:rsid w:val="004E3939"/>
    <w:rsid w:val="005249BE"/>
    <w:rsid w:val="00636CE5"/>
    <w:rsid w:val="00691BC9"/>
    <w:rsid w:val="006D6388"/>
    <w:rsid w:val="006F3FF0"/>
    <w:rsid w:val="00736BC6"/>
    <w:rsid w:val="00746AB8"/>
    <w:rsid w:val="00790CD8"/>
    <w:rsid w:val="007F4F92"/>
    <w:rsid w:val="0083405F"/>
    <w:rsid w:val="00854AF4"/>
    <w:rsid w:val="00871B5F"/>
    <w:rsid w:val="008B17DB"/>
    <w:rsid w:val="008D2A46"/>
    <w:rsid w:val="008D772F"/>
    <w:rsid w:val="008E5859"/>
    <w:rsid w:val="00900E42"/>
    <w:rsid w:val="00904EFF"/>
    <w:rsid w:val="00951C72"/>
    <w:rsid w:val="009621B3"/>
    <w:rsid w:val="009638AD"/>
    <w:rsid w:val="00971021"/>
    <w:rsid w:val="0099764C"/>
    <w:rsid w:val="00A33F1A"/>
    <w:rsid w:val="00A51730"/>
    <w:rsid w:val="00A84F72"/>
    <w:rsid w:val="00AA1963"/>
    <w:rsid w:val="00B65A67"/>
    <w:rsid w:val="00B81BCA"/>
    <w:rsid w:val="00B97703"/>
    <w:rsid w:val="00C1774A"/>
    <w:rsid w:val="00CF6087"/>
    <w:rsid w:val="00D75858"/>
    <w:rsid w:val="00DB72AE"/>
    <w:rsid w:val="00E30B7E"/>
    <w:rsid w:val="00E328A0"/>
    <w:rsid w:val="00E82D79"/>
    <w:rsid w:val="00F10903"/>
    <w:rsid w:val="00FB61B6"/>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1AB5"/>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3F1A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3F1AB5"/>
    <w:pPr>
      <w:pBdr>
        <w:top w:val="none" w:sz="0" w:space="0" w:color="auto"/>
      </w:pBdr>
      <w:spacing w:before="180"/>
      <w:outlineLvl w:val="1"/>
    </w:pPr>
    <w:rPr>
      <w:sz w:val="32"/>
    </w:rPr>
  </w:style>
  <w:style w:type="paragraph" w:styleId="Heading3">
    <w:name w:val="heading 3"/>
    <w:aliases w:val="H3,h3"/>
    <w:basedOn w:val="Heading2"/>
    <w:next w:val="Normal"/>
    <w:qFormat/>
    <w:rsid w:val="003F1AB5"/>
    <w:pPr>
      <w:spacing w:before="120"/>
      <w:outlineLvl w:val="2"/>
    </w:pPr>
    <w:rPr>
      <w:sz w:val="28"/>
    </w:rPr>
  </w:style>
  <w:style w:type="paragraph" w:styleId="Heading4">
    <w:name w:val="heading 4"/>
    <w:aliases w:val="h4"/>
    <w:basedOn w:val="Heading3"/>
    <w:next w:val="Normal"/>
    <w:qFormat/>
    <w:rsid w:val="003F1AB5"/>
    <w:pPr>
      <w:ind w:left="1418" w:hanging="1418"/>
      <w:outlineLvl w:val="3"/>
    </w:pPr>
    <w:rPr>
      <w:sz w:val="24"/>
    </w:rPr>
  </w:style>
  <w:style w:type="paragraph" w:styleId="Heading5">
    <w:name w:val="heading 5"/>
    <w:aliases w:val="h5"/>
    <w:basedOn w:val="Heading4"/>
    <w:next w:val="Normal"/>
    <w:qFormat/>
    <w:rsid w:val="003F1AB5"/>
    <w:pPr>
      <w:ind w:left="1701" w:hanging="1701"/>
      <w:outlineLvl w:val="4"/>
    </w:pPr>
    <w:rPr>
      <w:sz w:val="22"/>
    </w:rPr>
  </w:style>
  <w:style w:type="paragraph" w:styleId="Heading6">
    <w:name w:val="heading 6"/>
    <w:aliases w:val="h6"/>
    <w:basedOn w:val="H6"/>
    <w:next w:val="Normal"/>
    <w:qFormat/>
    <w:rsid w:val="003F1AB5"/>
    <w:pPr>
      <w:outlineLvl w:val="5"/>
    </w:pPr>
  </w:style>
  <w:style w:type="paragraph" w:styleId="Heading7">
    <w:name w:val="heading 7"/>
    <w:basedOn w:val="H6"/>
    <w:next w:val="Normal"/>
    <w:qFormat/>
    <w:rsid w:val="003F1AB5"/>
    <w:pPr>
      <w:outlineLvl w:val="6"/>
    </w:pPr>
  </w:style>
  <w:style w:type="paragraph" w:styleId="Heading8">
    <w:name w:val="heading 8"/>
    <w:basedOn w:val="Heading1"/>
    <w:next w:val="Normal"/>
    <w:qFormat/>
    <w:rsid w:val="003F1AB5"/>
    <w:pPr>
      <w:ind w:left="0" w:firstLine="0"/>
      <w:outlineLvl w:val="7"/>
    </w:pPr>
  </w:style>
  <w:style w:type="paragraph" w:styleId="Heading9">
    <w:name w:val="heading 9"/>
    <w:basedOn w:val="Heading8"/>
    <w:next w:val="Normal"/>
    <w:qFormat/>
    <w:rsid w:val="003F1AB5"/>
    <w:pPr>
      <w:outlineLvl w:val="8"/>
    </w:pPr>
  </w:style>
  <w:style w:type="character" w:default="1" w:styleId="DefaultParagraphFont">
    <w:name w:val="Default Paragraph Font"/>
    <w:semiHidden/>
    <w:rsid w:val="003F1A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1AB5"/>
  </w:style>
  <w:style w:type="paragraph" w:styleId="Header">
    <w:name w:val="header"/>
    <w:link w:val="HeaderChar"/>
    <w:rsid w:val="003F1AB5"/>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3F1AB5"/>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3F1AB5"/>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3F1AB5"/>
    <w:pPr>
      <w:spacing w:before="180"/>
      <w:ind w:left="2693" w:hanging="2693"/>
    </w:pPr>
    <w:rPr>
      <w:b/>
    </w:rPr>
  </w:style>
  <w:style w:type="paragraph" w:styleId="TOC1">
    <w:name w:val="toc 1"/>
    <w:semiHidden/>
    <w:rsid w:val="003F1AB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3F1A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3F1AB5"/>
    <w:pPr>
      <w:ind w:left="1701" w:hanging="1701"/>
    </w:pPr>
  </w:style>
  <w:style w:type="paragraph" w:styleId="TOC4">
    <w:name w:val="toc 4"/>
    <w:basedOn w:val="TOC3"/>
    <w:semiHidden/>
    <w:rsid w:val="003F1AB5"/>
    <w:pPr>
      <w:ind w:left="1418" w:hanging="1418"/>
    </w:pPr>
  </w:style>
  <w:style w:type="paragraph" w:styleId="TOC3">
    <w:name w:val="toc 3"/>
    <w:basedOn w:val="TOC2"/>
    <w:semiHidden/>
    <w:rsid w:val="003F1AB5"/>
    <w:pPr>
      <w:ind w:left="1134" w:hanging="1134"/>
    </w:pPr>
  </w:style>
  <w:style w:type="paragraph" w:styleId="TOC2">
    <w:name w:val="toc 2"/>
    <w:basedOn w:val="TOC1"/>
    <w:semiHidden/>
    <w:rsid w:val="003F1AB5"/>
    <w:pPr>
      <w:keepNext w:val="0"/>
      <w:spacing w:before="0"/>
      <w:ind w:left="851" w:hanging="851"/>
    </w:pPr>
    <w:rPr>
      <w:sz w:val="20"/>
    </w:rPr>
  </w:style>
  <w:style w:type="paragraph" w:styleId="Index2">
    <w:name w:val="index 2"/>
    <w:basedOn w:val="Index1"/>
    <w:semiHidden/>
    <w:rsid w:val="003F1AB5"/>
    <w:pPr>
      <w:ind w:left="284"/>
    </w:pPr>
  </w:style>
  <w:style w:type="paragraph" w:styleId="Index1">
    <w:name w:val="index 1"/>
    <w:basedOn w:val="Normal"/>
    <w:semiHidden/>
    <w:rsid w:val="003F1AB5"/>
    <w:pPr>
      <w:keepLines/>
      <w:spacing w:after="0"/>
    </w:pPr>
  </w:style>
  <w:style w:type="paragraph" w:customStyle="1" w:styleId="ZH">
    <w:name w:val="ZH"/>
    <w:rsid w:val="003F1AB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F1AB5"/>
    <w:pPr>
      <w:outlineLvl w:val="9"/>
    </w:pPr>
  </w:style>
  <w:style w:type="paragraph" w:styleId="ListNumber2">
    <w:name w:val="List Number 2"/>
    <w:basedOn w:val="ListNumber"/>
    <w:semiHidden/>
    <w:rsid w:val="003F1AB5"/>
    <w:pPr>
      <w:ind w:left="851"/>
    </w:pPr>
  </w:style>
  <w:style w:type="character" w:styleId="FootnoteReference">
    <w:name w:val="footnote reference"/>
    <w:semiHidden/>
    <w:rsid w:val="003F1AB5"/>
    <w:rPr>
      <w:b/>
      <w:position w:val="6"/>
      <w:sz w:val="16"/>
    </w:rPr>
  </w:style>
  <w:style w:type="paragraph" w:styleId="FootnoteText">
    <w:name w:val="footnote text"/>
    <w:basedOn w:val="Normal"/>
    <w:link w:val="FootnoteTextChar"/>
    <w:semiHidden/>
    <w:rsid w:val="003F1AB5"/>
    <w:pPr>
      <w:keepLines/>
      <w:spacing w:after="0"/>
      <w:ind w:left="454" w:hanging="454"/>
    </w:pPr>
    <w:rPr>
      <w:sz w:val="16"/>
    </w:rPr>
  </w:style>
  <w:style w:type="character" w:customStyle="1" w:styleId="FootnoteTextChar">
    <w:name w:val="Footnote Text Char"/>
    <w:link w:val="FootnoteText"/>
    <w:semiHidden/>
    <w:rsid w:val="004E3939"/>
    <w:rPr>
      <w:sz w:val="16"/>
      <w:lang w:val="en-GB"/>
    </w:rPr>
  </w:style>
  <w:style w:type="paragraph" w:customStyle="1" w:styleId="TAH">
    <w:name w:val="TAH"/>
    <w:basedOn w:val="TAC"/>
    <w:rsid w:val="003F1AB5"/>
    <w:rPr>
      <w:b/>
    </w:rPr>
  </w:style>
  <w:style w:type="paragraph" w:customStyle="1" w:styleId="TAC">
    <w:name w:val="TAC"/>
    <w:basedOn w:val="TAL"/>
    <w:rsid w:val="003F1AB5"/>
    <w:pPr>
      <w:jc w:val="center"/>
    </w:pPr>
  </w:style>
  <w:style w:type="paragraph" w:customStyle="1" w:styleId="TF">
    <w:name w:val="TF"/>
    <w:basedOn w:val="TH"/>
    <w:rsid w:val="003F1AB5"/>
    <w:pPr>
      <w:keepNext w:val="0"/>
      <w:spacing w:before="0" w:after="240"/>
    </w:pPr>
  </w:style>
  <w:style w:type="paragraph" w:customStyle="1" w:styleId="NO">
    <w:name w:val="NO"/>
    <w:basedOn w:val="Normal"/>
    <w:rsid w:val="003F1AB5"/>
    <w:pPr>
      <w:keepLines/>
      <w:ind w:left="1135" w:hanging="851"/>
    </w:pPr>
  </w:style>
  <w:style w:type="paragraph" w:styleId="TOC9">
    <w:name w:val="toc 9"/>
    <w:basedOn w:val="TOC8"/>
    <w:semiHidden/>
    <w:rsid w:val="003F1AB5"/>
    <w:pPr>
      <w:ind w:left="1418" w:hanging="1418"/>
    </w:pPr>
  </w:style>
  <w:style w:type="paragraph" w:customStyle="1" w:styleId="EX">
    <w:name w:val="EX"/>
    <w:basedOn w:val="Normal"/>
    <w:rsid w:val="003F1AB5"/>
    <w:pPr>
      <w:keepLines/>
      <w:ind w:left="1702" w:hanging="1418"/>
    </w:pPr>
  </w:style>
  <w:style w:type="paragraph" w:customStyle="1" w:styleId="FP">
    <w:name w:val="FP"/>
    <w:basedOn w:val="Normal"/>
    <w:rsid w:val="003F1AB5"/>
    <w:pPr>
      <w:spacing w:after="0"/>
    </w:pPr>
  </w:style>
  <w:style w:type="paragraph" w:customStyle="1" w:styleId="LD">
    <w:name w:val="LD"/>
    <w:rsid w:val="003F1AB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F1AB5"/>
    <w:pPr>
      <w:spacing w:after="0"/>
    </w:pPr>
  </w:style>
  <w:style w:type="paragraph" w:customStyle="1" w:styleId="EW">
    <w:name w:val="EW"/>
    <w:basedOn w:val="EX"/>
    <w:rsid w:val="003F1AB5"/>
    <w:pPr>
      <w:spacing w:after="0"/>
    </w:pPr>
  </w:style>
  <w:style w:type="paragraph" w:styleId="TOC6">
    <w:name w:val="toc 6"/>
    <w:basedOn w:val="TOC5"/>
    <w:next w:val="Normal"/>
    <w:semiHidden/>
    <w:rsid w:val="003F1AB5"/>
    <w:pPr>
      <w:ind w:left="1985" w:hanging="1985"/>
    </w:pPr>
  </w:style>
  <w:style w:type="paragraph" w:styleId="TOC7">
    <w:name w:val="toc 7"/>
    <w:basedOn w:val="TOC6"/>
    <w:next w:val="Normal"/>
    <w:semiHidden/>
    <w:rsid w:val="003F1AB5"/>
    <w:pPr>
      <w:ind w:left="2268" w:hanging="2268"/>
    </w:pPr>
  </w:style>
  <w:style w:type="paragraph" w:styleId="ListBullet2">
    <w:name w:val="List Bullet 2"/>
    <w:basedOn w:val="ListBullet"/>
    <w:semiHidden/>
    <w:rsid w:val="003F1AB5"/>
    <w:pPr>
      <w:ind w:left="851"/>
    </w:pPr>
  </w:style>
  <w:style w:type="paragraph" w:styleId="ListBullet3">
    <w:name w:val="List Bullet 3"/>
    <w:basedOn w:val="ListBullet2"/>
    <w:semiHidden/>
    <w:rsid w:val="003F1AB5"/>
    <w:pPr>
      <w:ind w:left="1135"/>
    </w:pPr>
  </w:style>
  <w:style w:type="paragraph" w:styleId="ListNumber">
    <w:name w:val="List Number"/>
    <w:basedOn w:val="List"/>
    <w:semiHidden/>
    <w:rsid w:val="003F1AB5"/>
  </w:style>
  <w:style w:type="paragraph" w:customStyle="1" w:styleId="EQ">
    <w:name w:val="EQ"/>
    <w:basedOn w:val="Normal"/>
    <w:next w:val="Normal"/>
    <w:rsid w:val="003F1AB5"/>
    <w:pPr>
      <w:keepLines/>
      <w:tabs>
        <w:tab w:val="center" w:pos="4536"/>
        <w:tab w:val="right" w:pos="9072"/>
      </w:tabs>
    </w:pPr>
    <w:rPr>
      <w:noProof/>
    </w:rPr>
  </w:style>
  <w:style w:type="paragraph" w:customStyle="1" w:styleId="TH">
    <w:name w:val="TH"/>
    <w:basedOn w:val="Normal"/>
    <w:rsid w:val="003F1AB5"/>
    <w:pPr>
      <w:keepNext/>
      <w:keepLines/>
      <w:spacing w:before="60"/>
      <w:jc w:val="center"/>
    </w:pPr>
    <w:rPr>
      <w:rFonts w:ascii="Arial" w:hAnsi="Arial"/>
      <w:b/>
    </w:rPr>
  </w:style>
  <w:style w:type="paragraph" w:customStyle="1" w:styleId="NF">
    <w:name w:val="NF"/>
    <w:basedOn w:val="NO"/>
    <w:rsid w:val="003F1AB5"/>
    <w:pPr>
      <w:keepNext/>
      <w:spacing w:after="0"/>
    </w:pPr>
    <w:rPr>
      <w:rFonts w:ascii="Arial" w:hAnsi="Arial"/>
      <w:sz w:val="18"/>
    </w:rPr>
  </w:style>
  <w:style w:type="paragraph" w:customStyle="1" w:styleId="PL">
    <w:name w:val="PL"/>
    <w:rsid w:val="003F1A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F1AB5"/>
    <w:pPr>
      <w:jc w:val="right"/>
    </w:pPr>
  </w:style>
  <w:style w:type="paragraph" w:customStyle="1" w:styleId="H6">
    <w:name w:val="H6"/>
    <w:basedOn w:val="Heading5"/>
    <w:next w:val="Normal"/>
    <w:rsid w:val="003F1AB5"/>
    <w:pPr>
      <w:ind w:left="1985" w:hanging="1985"/>
      <w:outlineLvl w:val="9"/>
    </w:pPr>
    <w:rPr>
      <w:sz w:val="20"/>
    </w:rPr>
  </w:style>
  <w:style w:type="paragraph" w:customStyle="1" w:styleId="TAN">
    <w:name w:val="TAN"/>
    <w:basedOn w:val="TAL"/>
    <w:rsid w:val="003F1AB5"/>
    <w:pPr>
      <w:ind w:left="851" w:hanging="851"/>
    </w:pPr>
  </w:style>
  <w:style w:type="paragraph" w:customStyle="1" w:styleId="TAL">
    <w:name w:val="TAL"/>
    <w:basedOn w:val="Normal"/>
    <w:rsid w:val="003F1AB5"/>
    <w:pPr>
      <w:keepNext/>
      <w:keepLines/>
      <w:spacing w:after="0"/>
    </w:pPr>
    <w:rPr>
      <w:rFonts w:ascii="Arial" w:hAnsi="Arial"/>
      <w:sz w:val="18"/>
    </w:rPr>
  </w:style>
  <w:style w:type="paragraph" w:customStyle="1" w:styleId="ZA">
    <w:name w:val="ZA"/>
    <w:rsid w:val="003F1A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F1A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F1AB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F1A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F1AB5"/>
    <w:pPr>
      <w:framePr w:wrap="notBeside" w:y="16161"/>
    </w:pPr>
  </w:style>
  <w:style w:type="character" w:customStyle="1" w:styleId="ZGSM">
    <w:name w:val="ZGSM"/>
    <w:rsid w:val="003F1AB5"/>
  </w:style>
  <w:style w:type="paragraph" w:styleId="List2">
    <w:name w:val="List 2"/>
    <w:basedOn w:val="List"/>
    <w:semiHidden/>
    <w:rsid w:val="003F1AB5"/>
    <w:pPr>
      <w:ind w:left="851"/>
    </w:pPr>
  </w:style>
  <w:style w:type="paragraph" w:customStyle="1" w:styleId="ZG">
    <w:name w:val="ZG"/>
    <w:rsid w:val="003F1AB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F1AB5"/>
    <w:pPr>
      <w:ind w:left="1135"/>
    </w:pPr>
  </w:style>
  <w:style w:type="paragraph" w:styleId="List4">
    <w:name w:val="List 4"/>
    <w:basedOn w:val="List3"/>
    <w:semiHidden/>
    <w:rsid w:val="003F1AB5"/>
    <w:pPr>
      <w:ind w:left="1418"/>
    </w:pPr>
  </w:style>
  <w:style w:type="paragraph" w:styleId="List5">
    <w:name w:val="List 5"/>
    <w:basedOn w:val="List4"/>
    <w:semiHidden/>
    <w:rsid w:val="003F1AB5"/>
    <w:pPr>
      <w:ind w:left="1702"/>
    </w:pPr>
  </w:style>
  <w:style w:type="paragraph" w:customStyle="1" w:styleId="EditorsNote">
    <w:name w:val="Editor's Note"/>
    <w:basedOn w:val="NO"/>
    <w:rsid w:val="003F1AB5"/>
    <w:rPr>
      <w:color w:val="FF0000"/>
    </w:rPr>
  </w:style>
  <w:style w:type="paragraph" w:styleId="List">
    <w:name w:val="List"/>
    <w:basedOn w:val="Normal"/>
    <w:semiHidden/>
    <w:rsid w:val="003F1AB5"/>
    <w:pPr>
      <w:ind w:left="568" w:hanging="284"/>
    </w:pPr>
  </w:style>
  <w:style w:type="paragraph" w:styleId="ListBullet">
    <w:name w:val="List Bullet"/>
    <w:basedOn w:val="List"/>
    <w:semiHidden/>
    <w:rsid w:val="003F1AB5"/>
  </w:style>
  <w:style w:type="paragraph" w:styleId="ListBullet4">
    <w:name w:val="List Bullet 4"/>
    <w:basedOn w:val="ListBullet3"/>
    <w:semiHidden/>
    <w:rsid w:val="003F1AB5"/>
    <w:pPr>
      <w:ind w:left="1418"/>
    </w:pPr>
  </w:style>
  <w:style w:type="paragraph" w:styleId="ListBullet5">
    <w:name w:val="List Bullet 5"/>
    <w:basedOn w:val="ListBullet4"/>
    <w:semiHidden/>
    <w:rsid w:val="003F1AB5"/>
    <w:pPr>
      <w:ind w:left="1702"/>
    </w:pPr>
  </w:style>
  <w:style w:type="paragraph" w:customStyle="1" w:styleId="B2">
    <w:name w:val="B2"/>
    <w:basedOn w:val="List2"/>
    <w:link w:val="B2Char"/>
    <w:rsid w:val="003F1AB5"/>
  </w:style>
  <w:style w:type="paragraph" w:customStyle="1" w:styleId="B3">
    <w:name w:val="B3"/>
    <w:basedOn w:val="List3"/>
    <w:rsid w:val="003F1AB5"/>
  </w:style>
  <w:style w:type="paragraph" w:customStyle="1" w:styleId="B4">
    <w:name w:val="B4"/>
    <w:basedOn w:val="List4"/>
    <w:rsid w:val="003F1AB5"/>
  </w:style>
  <w:style w:type="paragraph" w:customStyle="1" w:styleId="B5">
    <w:name w:val="B5"/>
    <w:basedOn w:val="List5"/>
    <w:rsid w:val="003F1AB5"/>
  </w:style>
  <w:style w:type="paragraph" w:customStyle="1" w:styleId="ZTD">
    <w:name w:val="ZTD"/>
    <w:basedOn w:val="ZB"/>
    <w:rsid w:val="003F1AB5"/>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B1Char">
    <w:name w:val="B1 Char"/>
    <w:link w:val="B1"/>
    <w:rsid w:val="00F10903"/>
    <w:rPr>
      <w:lang w:val="en-GB"/>
    </w:rPr>
  </w:style>
  <w:style w:type="character" w:customStyle="1" w:styleId="B2Char">
    <w:name w:val="B2 Char"/>
    <w:link w:val="B2"/>
    <w:qFormat/>
    <w:rsid w:val="00F10903"/>
    <w:rPr>
      <w:lang w:val="en-GB"/>
    </w:rPr>
  </w:style>
  <w:style w:type="table" w:styleId="TableGrid">
    <w:name w:val="Table Grid"/>
    <w:basedOn w:val="TableNormal"/>
    <w:uiPriority w:val="59"/>
    <w:rsid w:val="003D6A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147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19161-9030-4E7F-B1B6-BC5E8AAA2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Pages>
  <Words>684</Words>
  <Characters>3900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MediaTek Inc.</cp:lastModifiedBy>
  <cp:revision>20</cp:revision>
  <cp:lastPrinted>2002-04-23T07:10:00Z</cp:lastPrinted>
  <dcterms:created xsi:type="dcterms:W3CDTF">2021-02-18T12:35:00Z</dcterms:created>
  <dcterms:modified xsi:type="dcterms:W3CDTF">2021-02-18T20:17:00Z</dcterms:modified>
</cp:coreProperties>
</file>